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A22AC3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236B4222" w:rsidR="000633BB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0633BB">
        <w:rPr>
          <w:sz w:val="24"/>
          <w:szCs w:val="24"/>
          <w:shd w:val="clear" w:color="auto" w:fill="FFFFFF"/>
        </w:rPr>
        <w:t xml:space="preserve">ОКВЭД </w:t>
      </w:r>
      <w:r w:rsidR="00611BFC">
        <w:rPr>
          <w:sz w:val="24"/>
          <w:szCs w:val="24"/>
          <w:shd w:val="clear" w:color="auto" w:fill="FFFFFF"/>
        </w:rPr>
        <w:t>62.09</w:t>
      </w:r>
      <w:r w:rsidRPr="000633BB">
        <w:rPr>
          <w:sz w:val="24"/>
          <w:szCs w:val="24"/>
          <w:shd w:val="clear" w:color="auto" w:fill="FFFFFF"/>
        </w:rPr>
        <w:t xml:space="preserve"> - «</w:t>
      </w:r>
      <w:r w:rsidR="00611BFC" w:rsidRPr="00611BFC">
        <w:rPr>
          <w:sz w:val="24"/>
          <w:szCs w:val="24"/>
          <w:shd w:val="clear" w:color="auto" w:fill="FFFFFF"/>
        </w:rPr>
        <w:t>Деятельность, связанная с использованием вычислительной техники и информационных технологий, прочая</w:t>
      </w:r>
      <w:r w:rsidRPr="000633BB">
        <w:rPr>
          <w:sz w:val="24"/>
          <w:szCs w:val="24"/>
          <w:shd w:val="clear" w:color="auto" w:fill="FFFFFF"/>
        </w:rPr>
        <w:t>»</w:t>
      </w:r>
    </w:p>
    <w:p w14:paraId="48C75CDC" w14:textId="76B73DBB" w:rsidR="00F66112" w:rsidRPr="00A22AC3" w:rsidRDefault="0052254D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Цель</w:t>
      </w:r>
      <w:r w:rsidR="00F66112" w:rsidRPr="00A22AC3">
        <w:rPr>
          <w:sz w:val="24"/>
          <w:szCs w:val="24"/>
        </w:rPr>
        <w:t xml:space="preserve"> </w:t>
      </w:r>
      <w:proofErr w:type="spellStart"/>
      <w:r w:rsidR="00F66112" w:rsidRPr="00A22AC3">
        <w:rPr>
          <w:sz w:val="24"/>
          <w:szCs w:val="24"/>
        </w:rPr>
        <w:t>предквалификации</w:t>
      </w:r>
      <w:proofErr w:type="spellEnd"/>
      <w:r w:rsidR="00F66112" w:rsidRPr="00A22AC3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 xml:space="preserve">Целью </w:t>
            </w:r>
            <w:proofErr w:type="spellStart"/>
            <w:r w:rsidRPr="00A22AC3">
              <w:rPr>
                <w:sz w:val="24"/>
                <w:szCs w:val="24"/>
              </w:rPr>
              <w:t>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proofErr w:type="spellEnd"/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 xml:space="preserve">редмет </w:t>
      </w:r>
      <w:proofErr w:type="spellStart"/>
      <w:r w:rsidRPr="000633BB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19B671FA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ОКВЭД </w:t>
            </w:r>
            <w:r w:rsidR="00611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62.09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 «</w:t>
            </w:r>
            <w:r w:rsidR="00611BFC" w:rsidRPr="00611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Деятельность, связанная с использованием вычислительной техники и информационных технологий, прочая</w:t>
            </w:r>
            <w:bookmarkStart w:id="0" w:name="_GoBack"/>
            <w:bookmarkEnd w:id="0"/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2074A1" w:rsidRDefault="00611BFC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документации о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611BFC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проведении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A22AC3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7668A"/>
    <w:rsid w:val="001C2C69"/>
    <w:rsid w:val="001C3EC0"/>
    <w:rsid w:val="001C5710"/>
    <w:rsid w:val="002074A1"/>
    <w:rsid w:val="00307ABC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konotopk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6</cp:revision>
  <dcterms:created xsi:type="dcterms:W3CDTF">2020-03-24T11:00:00Z</dcterms:created>
  <dcterms:modified xsi:type="dcterms:W3CDTF">2020-06-08T07:53:00Z</dcterms:modified>
</cp:coreProperties>
</file>