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19615ACE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484B79" w:rsidRPr="00484B79">
        <w:rPr>
          <w:sz w:val="24"/>
          <w:szCs w:val="24"/>
          <w:shd w:val="clear" w:color="auto" w:fill="FFFFFF"/>
        </w:rPr>
        <w:t>2:</w:t>
      </w:r>
      <w:r w:rsidR="003F6FFE" w:rsidRPr="003F6FFE">
        <w:rPr>
          <w:sz w:val="24"/>
          <w:szCs w:val="24"/>
          <w:shd w:val="clear" w:color="auto" w:fill="FFFFFF"/>
        </w:rPr>
        <w:t xml:space="preserve"> </w:t>
      </w:r>
      <w:r w:rsidR="00484B79" w:rsidRPr="00484B79">
        <w:rPr>
          <w:sz w:val="24"/>
          <w:szCs w:val="24"/>
          <w:shd w:val="clear" w:color="auto" w:fill="FFFFFF"/>
        </w:rPr>
        <w:t>33.1- «Ремонт и монтаж металлических изделий, машин и оборудования»</w:t>
      </w:r>
      <w:r w:rsidR="003F6FFE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</w:t>
            </w:r>
            <w:bookmarkStart w:id="0" w:name="_GoBack"/>
            <w:bookmarkEnd w:id="0"/>
            <w:r w:rsidR="00F66112" w:rsidRPr="00322007">
              <w:rPr>
                <w:sz w:val="24"/>
                <w:szCs w:val="24"/>
              </w:rPr>
              <w:t>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63488CD4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3F6FFE">
              <w:rPr>
                <w:bCs w:val="0"/>
                <w:sz w:val="24"/>
                <w:szCs w:val="24"/>
              </w:rPr>
              <w:t>ОКВЭД</w:t>
            </w:r>
            <w:r w:rsidR="00484B79">
              <w:rPr>
                <w:bCs w:val="0"/>
                <w:sz w:val="24"/>
                <w:szCs w:val="24"/>
              </w:rPr>
              <w:t xml:space="preserve"> 2</w:t>
            </w:r>
            <w:r w:rsidR="00484B79" w:rsidRPr="00484B79">
              <w:rPr>
                <w:bCs w:val="0"/>
                <w:sz w:val="24"/>
                <w:szCs w:val="24"/>
              </w:rPr>
              <w:t>:</w:t>
            </w:r>
            <w:r w:rsidR="003F6FFE">
              <w:rPr>
                <w:bCs w:val="0"/>
                <w:sz w:val="24"/>
                <w:szCs w:val="24"/>
              </w:rPr>
              <w:t xml:space="preserve"> </w:t>
            </w:r>
            <w:r w:rsidR="00484B79" w:rsidRPr="00484B79">
              <w:rPr>
                <w:bCs w:val="0"/>
                <w:sz w:val="24"/>
                <w:szCs w:val="24"/>
              </w:rPr>
              <w:t>33.1- «Ремонт и монтаж металлических изделий, машин и оборудования»</w:t>
            </w:r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3E14A38D" w:rsidR="000633BB" w:rsidRPr="00322007" w:rsidRDefault="00260A3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6869F88B" w:rsidR="0017668A" w:rsidRPr="00260A3E" w:rsidRDefault="00484B79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kosarev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60A3E" w:rsidRPr="00260A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484B79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2074A1"/>
    <w:rsid w:val="00260A3E"/>
    <w:rsid w:val="00307ABC"/>
    <w:rsid w:val="00322007"/>
    <w:rsid w:val="003F6FFE"/>
    <w:rsid w:val="00484B79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22AC3"/>
    <w:rsid w:val="00B774C2"/>
    <w:rsid w:val="00D061FD"/>
    <w:rsid w:val="00D74D2E"/>
    <w:rsid w:val="00DD05F3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sarev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F33E-1807-4C2F-9FEA-4EA5A91C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16</cp:revision>
  <dcterms:created xsi:type="dcterms:W3CDTF">2020-03-24T11:00:00Z</dcterms:created>
  <dcterms:modified xsi:type="dcterms:W3CDTF">2022-05-31T09:40:00Z</dcterms:modified>
</cp:coreProperties>
</file>