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466A6164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484B79" w:rsidRPr="00484B79">
        <w:rPr>
          <w:sz w:val="24"/>
          <w:szCs w:val="24"/>
          <w:shd w:val="clear" w:color="auto" w:fill="FFFFFF"/>
        </w:rPr>
        <w:t>2:</w:t>
      </w:r>
      <w:r w:rsidR="003F6FFE" w:rsidRPr="003F6FFE">
        <w:rPr>
          <w:sz w:val="24"/>
          <w:szCs w:val="24"/>
          <w:shd w:val="clear" w:color="auto" w:fill="FFFFFF"/>
        </w:rPr>
        <w:t xml:space="preserve"> </w:t>
      </w:r>
      <w:r w:rsidR="00CC2DB2">
        <w:rPr>
          <w:sz w:val="24"/>
          <w:szCs w:val="24"/>
          <w:shd w:val="clear" w:color="auto" w:fill="FFFFFF"/>
        </w:rPr>
        <w:t>6</w:t>
      </w:r>
      <w:r w:rsidR="00A1690B">
        <w:rPr>
          <w:sz w:val="24"/>
          <w:szCs w:val="24"/>
          <w:shd w:val="clear" w:color="auto" w:fill="FFFFFF"/>
        </w:rPr>
        <w:t>5</w:t>
      </w:r>
      <w:r w:rsidR="00523F73" w:rsidRPr="00523F73">
        <w:rPr>
          <w:sz w:val="24"/>
          <w:szCs w:val="24"/>
          <w:shd w:val="clear" w:color="auto" w:fill="FFFFFF"/>
        </w:rPr>
        <w:t>.</w:t>
      </w:r>
      <w:r w:rsidR="00CC2DB2">
        <w:rPr>
          <w:sz w:val="24"/>
          <w:szCs w:val="24"/>
          <w:shd w:val="clear" w:color="auto" w:fill="FFFFFF"/>
        </w:rPr>
        <w:t>12.1</w:t>
      </w:r>
      <w:r w:rsidR="00523F73" w:rsidRPr="00523F73">
        <w:rPr>
          <w:sz w:val="24"/>
          <w:szCs w:val="24"/>
          <w:shd w:val="clear" w:color="auto" w:fill="FFFFFF"/>
        </w:rPr>
        <w:t>- «</w:t>
      </w:r>
      <w:r w:rsidR="00CC2DB2" w:rsidRPr="00CC2DB2">
        <w:rPr>
          <w:sz w:val="24"/>
          <w:szCs w:val="24"/>
          <w:shd w:val="clear" w:color="auto" w:fill="FFFFFF"/>
        </w:rPr>
        <w:t>Услуги по страхованию от несчастных случаев и медицинскому страхованию</w:t>
      </w:r>
      <w:r w:rsidR="00523F73" w:rsidRPr="00523F73">
        <w:rPr>
          <w:sz w:val="24"/>
          <w:szCs w:val="24"/>
          <w:shd w:val="clear" w:color="auto" w:fill="FFFFFF"/>
        </w:rPr>
        <w:t>»</w:t>
      </w:r>
      <w:r w:rsidR="003F6FFE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1E20A6CB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3F6FFE">
              <w:rPr>
                <w:bCs w:val="0"/>
                <w:sz w:val="24"/>
                <w:szCs w:val="24"/>
              </w:rPr>
              <w:t>ОКВЭД</w:t>
            </w:r>
            <w:r w:rsidR="00484B79">
              <w:rPr>
                <w:bCs w:val="0"/>
                <w:sz w:val="24"/>
                <w:szCs w:val="24"/>
              </w:rPr>
              <w:t xml:space="preserve"> 2</w:t>
            </w:r>
            <w:r w:rsidR="00484B79" w:rsidRPr="00484B79">
              <w:rPr>
                <w:bCs w:val="0"/>
                <w:sz w:val="24"/>
                <w:szCs w:val="24"/>
              </w:rPr>
              <w:t>:</w:t>
            </w:r>
            <w:r w:rsidR="003F6FFE">
              <w:rPr>
                <w:bCs w:val="0"/>
                <w:sz w:val="24"/>
                <w:szCs w:val="24"/>
              </w:rPr>
              <w:t xml:space="preserve"> </w:t>
            </w:r>
            <w:r w:rsidR="00CC2DB2">
              <w:rPr>
                <w:bCs w:val="0"/>
                <w:sz w:val="24"/>
                <w:szCs w:val="24"/>
              </w:rPr>
              <w:t>6</w:t>
            </w:r>
            <w:r w:rsidR="00A1690B">
              <w:rPr>
                <w:bCs w:val="0"/>
                <w:sz w:val="24"/>
                <w:szCs w:val="24"/>
              </w:rPr>
              <w:t>5</w:t>
            </w:r>
            <w:r w:rsidR="00523F73" w:rsidRPr="00523F73">
              <w:rPr>
                <w:bCs w:val="0"/>
                <w:sz w:val="24"/>
                <w:szCs w:val="24"/>
              </w:rPr>
              <w:t>.</w:t>
            </w:r>
            <w:r w:rsidR="00CC2DB2">
              <w:rPr>
                <w:bCs w:val="0"/>
                <w:sz w:val="24"/>
                <w:szCs w:val="24"/>
              </w:rPr>
              <w:t>12.1</w:t>
            </w:r>
            <w:r w:rsidR="00523F73" w:rsidRPr="00523F73">
              <w:rPr>
                <w:bCs w:val="0"/>
                <w:sz w:val="24"/>
                <w:szCs w:val="24"/>
              </w:rPr>
              <w:t>- «</w:t>
            </w:r>
            <w:r w:rsidR="00CC2DB2" w:rsidRPr="00CC2DB2">
              <w:rPr>
                <w:bCs w:val="0"/>
                <w:sz w:val="24"/>
                <w:szCs w:val="24"/>
              </w:rPr>
              <w:t>Услуги по страхованию от несчастных случаев и медицинскому страхованию</w:t>
            </w:r>
            <w:bookmarkStart w:id="0" w:name="_GoBack"/>
            <w:bookmarkEnd w:id="0"/>
            <w:r w:rsidR="00523F73" w:rsidRPr="00523F73">
              <w:rPr>
                <w:bCs w:val="0"/>
                <w:sz w:val="24"/>
                <w:szCs w:val="24"/>
              </w:rPr>
              <w:t>»</w:t>
            </w:r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3E14A38D" w:rsidR="000633BB" w:rsidRPr="00322007" w:rsidRDefault="00260A3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6869F88B" w:rsidR="0017668A" w:rsidRPr="00260A3E" w:rsidRDefault="00CC2DB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kosarev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60A3E" w:rsidRPr="00260A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CC2DB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2074A1"/>
    <w:rsid w:val="00260A3E"/>
    <w:rsid w:val="00307ABC"/>
    <w:rsid w:val="00322007"/>
    <w:rsid w:val="003F6FFE"/>
    <w:rsid w:val="00484B79"/>
    <w:rsid w:val="004D581B"/>
    <w:rsid w:val="004F2D98"/>
    <w:rsid w:val="0052254D"/>
    <w:rsid w:val="00523F73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1690B"/>
    <w:rsid w:val="00A22AC3"/>
    <w:rsid w:val="00B774C2"/>
    <w:rsid w:val="00CC2DB2"/>
    <w:rsid w:val="00D061FD"/>
    <w:rsid w:val="00D74D2E"/>
    <w:rsid w:val="00DD05F3"/>
    <w:rsid w:val="00F53721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sarev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C236-6138-444F-9519-61BA6617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20</cp:revision>
  <dcterms:created xsi:type="dcterms:W3CDTF">2020-03-24T11:00:00Z</dcterms:created>
  <dcterms:modified xsi:type="dcterms:W3CDTF">2022-06-20T15:41:00Z</dcterms:modified>
</cp:coreProperties>
</file>